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DF4E6">
      <w:pPr>
        <w:spacing w:before="312" w:beforeLines="100" w:after="312" w:afterLines="100" w:line="480" w:lineRule="exact"/>
        <w:jc w:val="center"/>
        <w:rPr>
          <w:rFonts w:hint="eastAsia" w:ascii="宋体" w:hAnsi="宋体"/>
          <w:b/>
          <w:bCs/>
          <w:sz w:val="40"/>
          <w:szCs w:val="40"/>
        </w:rPr>
      </w:pPr>
      <w:r>
        <w:rPr>
          <w:rFonts w:hint="eastAsia"/>
          <w:b/>
          <w:sz w:val="40"/>
          <w:szCs w:val="40"/>
        </w:rPr>
        <w:t>深圳图书馆“纸的温度”艺术展示活动</w:t>
      </w:r>
      <w:r>
        <w:rPr>
          <w:rFonts w:hint="eastAsia" w:ascii="宋体" w:hAnsi="宋体"/>
          <w:b/>
          <w:bCs/>
          <w:sz w:val="40"/>
          <w:szCs w:val="40"/>
        </w:rPr>
        <w:t>项目</w:t>
      </w:r>
    </w:p>
    <w:p w14:paraId="5D2EA97E">
      <w:pPr>
        <w:spacing w:before="312" w:beforeLines="100" w:after="312" w:afterLines="100" w:line="480" w:lineRule="exact"/>
        <w:jc w:val="center"/>
        <w:rPr>
          <w:rFonts w:hint="eastAsia"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采购需求</w:t>
      </w:r>
    </w:p>
    <w:p w14:paraId="0FDE777F">
      <w:pPr>
        <w:spacing w:before="312" w:beforeLines="100" w:after="312" w:afterLines="100" w:line="480" w:lineRule="exact"/>
        <w:jc w:val="center"/>
        <w:rPr>
          <w:rFonts w:hint="eastAsia" w:ascii="宋体" w:hAnsi="宋体"/>
          <w:b/>
          <w:bCs/>
          <w:sz w:val="40"/>
          <w:szCs w:val="40"/>
        </w:rPr>
      </w:pPr>
    </w:p>
    <w:p w14:paraId="744C9024">
      <w:pPr>
        <w:pStyle w:val="20"/>
        <w:spacing w:before="240"/>
        <w:ind w:firstLine="0" w:firstLineChars="0"/>
        <w:jc w:val="lef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一、采购项目概况</w:t>
      </w:r>
    </w:p>
    <w:p w14:paraId="7081801B">
      <w:pPr>
        <w:spacing w:line="360" w:lineRule="auto"/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项目名称：“纸的温度”艺术展示活动</w:t>
      </w:r>
    </w:p>
    <w:p w14:paraId="74CF6DAB">
      <w:pPr>
        <w:spacing w:line="360" w:lineRule="auto"/>
        <w:ind w:firstLine="602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项目预算：16.5万元</w:t>
      </w:r>
    </w:p>
    <w:p w14:paraId="3F21A85A">
      <w:pPr>
        <w:spacing w:line="360" w:lineRule="auto"/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项目介绍：</w:t>
      </w:r>
    </w:p>
    <w:p w14:paraId="08D3CB13">
      <w:pPr>
        <w:spacing w:line="360" w:lineRule="auto"/>
        <w:ind w:firstLine="638" w:firstLineChars="228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纸张，作为文明存续的物质载体，不仅记录文字，更凝结着文化记忆、历史温度与集体情感。在</w:t>
      </w:r>
      <w:r>
        <w:rPr>
          <w:rFonts w:ascii="仿宋" w:hAnsi="仿宋" w:eastAsia="仿宋"/>
          <w:sz w:val="28"/>
          <w:szCs w:val="28"/>
        </w:rPr>
        <w:t>31个世界读书日暨首个全民阅读活动周之际，</w:t>
      </w:r>
      <w:r>
        <w:rPr>
          <w:rFonts w:hint="eastAsia" w:ascii="仿宋" w:hAnsi="仿宋" w:eastAsia="仿宋"/>
          <w:sz w:val="28"/>
          <w:szCs w:val="28"/>
        </w:rPr>
        <w:t>深圳图书馆</w:t>
      </w:r>
      <w:r>
        <w:rPr>
          <w:rFonts w:ascii="仿宋" w:hAnsi="仿宋" w:eastAsia="仿宋"/>
          <w:sz w:val="28"/>
          <w:szCs w:val="28"/>
        </w:rPr>
        <w:t>拟策划推出“纸的温度”艺术展示活动，并配套举办主题文化对谈。活动将围绕“纸张、阅读、艺术、历史”等关键词，聚焦纸媒所蕴含的人文温度与文化记忆，探讨数字时代下如何延续文脉、承接传统</w:t>
      </w:r>
      <w:r>
        <w:rPr>
          <w:rFonts w:hint="eastAsia" w:ascii="仿宋" w:hAnsi="仿宋" w:eastAsia="仿宋"/>
          <w:sz w:val="28"/>
          <w:szCs w:val="28"/>
        </w:rPr>
        <w:t>，</w:t>
      </w:r>
      <w:r>
        <w:rPr>
          <w:rFonts w:ascii="仿宋" w:hAnsi="仿宋" w:eastAsia="仿宋"/>
          <w:sz w:val="28"/>
          <w:szCs w:val="28"/>
        </w:rPr>
        <w:t>旨在打造一个连接过去与现在的公共文化空间，让艺术表达与阅读推广相互交融，让公众触摸到</w:t>
      </w:r>
      <w:r>
        <w:rPr>
          <w:rFonts w:hint="eastAsia" w:ascii="仿宋" w:hAnsi="仿宋" w:eastAsia="仿宋"/>
          <w:sz w:val="28"/>
          <w:szCs w:val="28"/>
        </w:rPr>
        <w:t>“</w:t>
      </w:r>
      <w:r>
        <w:rPr>
          <w:rFonts w:ascii="仿宋" w:hAnsi="仿宋" w:eastAsia="仿宋"/>
          <w:sz w:val="28"/>
          <w:szCs w:val="28"/>
        </w:rPr>
        <w:t>纸的温度</w:t>
      </w:r>
      <w:r>
        <w:rPr>
          <w:rFonts w:hint="eastAsia" w:ascii="仿宋" w:hAnsi="仿宋" w:eastAsia="仿宋"/>
          <w:sz w:val="28"/>
          <w:szCs w:val="28"/>
        </w:rPr>
        <w:t>”</w:t>
      </w:r>
      <w:r>
        <w:rPr>
          <w:rFonts w:ascii="仿宋" w:hAnsi="仿宋" w:eastAsia="仿宋"/>
          <w:sz w:val="28"/>
          <w:szCs w:val="28"/>
        </w:rPr>
        <w:t>。</w:t>
      </w:r>
    </w:p>
    <w:p w14:paraId="0669D447">
      <w:pPr>
        <w:ind w:firstLine="641" w:firstLineChars="213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开展时间：</w:t>
      </w:r>
      <w:r>
        <w:rPr>
          <w:rFonts w:hint="eastAsia" w:ascii="仿宋" w:hAnsi="仿宋" w:eastAsia="仿宋" w:cs="仿宋"/>
          <w:sz w:val="28"/>
          <w:szCs w:val="28"/>
        </w:rPr>
        <w:t>2026年4月23日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起</w:t>
      </w:r>
    </w:p>
    <w:p w14:paraId="26EC032A">
      <w:pPr>
        <w:spacing w:line="360" w:lineRule="auto"/>
        <w:ind w:firstLine="641" w:firstLineChars="213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项目地点：</w:t>
      </w:r>
      <w:r>
        <w:rPr>
          <w:rFonts w:hint="eastAsia" w:ascii="仿宋" w:hAnsi="仿宋" w:eastAsia="仿宋"/>
          <w:sz w:val="28"/>
          <w:szCs w:val="28"/>
        </w:rPr>
        <w:t>深圳图书馆北馆1F悦读大厅及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5F</w:t>
      </w:r>
      <w:r>
        <w:rPr>
          <w:rFonts w:hint="eastAsia" w:ascii="仿宋" w:hAnsi="仿宋" w:eastAsia="仿宋"/>
          <w:sz w:val="28"/>
          <w:szCs w:val="28"/>
        </w:rPr>
        <w:t>综合展厅</w:t>
      </w:r>
    </w:p>
    <w:p w14:paraId="2B7E03B2">
      <w:pPr>
        <w:spacing w:line="360" w:lineRule="auto"/>
        <w:ind w:firstLine="641" w:firstLineChars="213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项目内容：</w:t>
      </w:r>
    </w:p>
    <w:p w14:paraId="78BD848E">
      <w:pPr>
        <w:spacing w:line="360" w:lineRule="auto"/>
        <w:ind w:firstLine="596" w:firstLineChars="213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在北馆一楼大厅设置纸媒材料的大型公共艺术装置作品，通过远观形态与近观纹理的视角转换，引导观众体验从宏观文化意象到微观物质细节的沉浸式阅读认知。该区域强调公共性与互动性，观众可绕行、近观，感受纸张作为“文明地层”的视觉张力。</w:t>
      </w:r>
    </w:p>
    <w:p w14:paraId="06C56878">
      <w:pPr>
        <w:spacing w:line="360" w:lineRule="auto"/>
        <w:ind w:firstLine="638" w:firstLineChars="228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在北馆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5F</w:t>
      </w:r>
      <w:r>
        <w:rPr>
          <w:rFonts w:hint="eastAsia" w:ascii="仿宋" w:hAnsi="仿宋" w:eastAsia="仿宋"/>
          <w:sz w:val="28"/>
          <w:szCs w:val="28"/>
        </w:rPr>
        <w:t>综合展厅以“历史文化传承”为策展理念，利用图书馆这一独特场域，以纸为媒介，通过纸材的艺术再创作，用视觉表达语言将历史文化记忆、城市阅读与纸质重构技艺并置，形成“历史—当下—未来”的时空剖面，揭示物质载体背后“守护—传承—再生”的文化逻辑。观众穿行于纸的解构与重生之间，体验从“观看”到“触摸”的认知转换，唤起市民对书籍、阅读未来命运的思考。</w:t>
      </w:r>
    </w:p>
    <w:p w14:paraId="383BBAED">
      <w:pPr>
        <w:pStyle w:val="20"/>
        <w:spacing w:before="240"/>
        <w:ind w:firstLine="0" w:firstLineChars="0"/>
        <w:jc w:val="lef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二、项目服务要求</w:t>
      </w:r>
    </w:p>
    <w:p w14:paraId="5CDA0605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根据项目要求进行展示创意策划、展陈设计制作、展示活动物料制作、布撤展等，具体要求如下：</w:t>
      </w:r>
    </w:p>
    <w:p w14:paraId="26B5FBAD">
      <w:pPr>
        <w:spacing w:line="560" w:lineRule="exac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（一）项目服务需求清单（包括但不限于以下内容）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665"/>
        <w:gridCol w:w="4138"/>
        <w:gridCol w:w="2035"/>
      </w:tblGrid>
      <w:tr w14:paraId="6DD17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684" w:type="dxa"/>
            <w:vAlign w:val="center"/>
          </w:tcPr>
          <w:p w14:paraId="4581BA9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1665" w:type="dxa"/>
            <w:vAlign w:val="center"/>
          </w:tcPr>
          <w:p w14:paraId="5889B2EF">
            <w:pPr>
              <w:ind w:firstLine="120" w:firstLineChars="5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服务名称</w:t>
            </w:r>
          </w:p>
        </w:tc>
        <w:tc>
          <w:tcPr>
            <w:tcW w:w="4138" w:type="dxa"/>
            <w:vAlign w:val="center"/>
          </w:tcPr>
          <w:p w14:paraId="57707FF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需求描述</w:t>
            </w:r>
          </w:p>
        </w:tc>
        <w:tc>
          <w:tcPr>
            <w:tcW w:w="2035" w:type="dxa"/>
          </w:tcPr>
          <w:p w14:paraId="2D0D08C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服务期限或完成时间</w:t>
            </w:r>
          </w:p>
        </w:tc>
      </w:tr>
      <w:tr w14:paraId="0C62E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684" w:type="dxa"/>
            <w:vAlign w:val="center"/>
          </w:tcPr>
          <w:p w14:paraId="0A27D3FB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665" w:type="dxa"/>
            <w:vAlign w:val="center"/>
          </w:tcPr>
          <w:p w14:paraId="039B1148">
            <w:pPr>
              <w:spacing w:line="5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策划方案</w:t>
            </w:r>
          </w:p>
        </w:tc>
        <w:tc>
          <w:tcPr>
            <w:tcW w:w="4138" w:type="dxa"/>
            <w:vAlign w:val="center"/>
          </w:tcPr>
          <w:p w14:paraId="225F68F8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围绕展示活动主题制定相应展示策划方案，方案具备创新性、艺术价值及专业性的呈现方式。</w:t>
            </w:r>
          </w:p>
        </w:tc>
        <w:tc>
          <w:tcPr>
            <w:tcW w:w="2035" w:type="dxa"/>
          </w:tcPr>
          <w:p w14:paraId="6ED7E23B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3月14日前</w:t>
            </w:r>
          </w:p>
        </w:tc>
      </w:tr>
      <w:tr w14:paraId="6462D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  <w:vAlign w:val="center"/>
          </w:tcPr>
          <w:p w14:paraId="04F3249F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665" w:type="dxa"/>
            <w:vAlign w:val="center"/>
          </w:tcPr>
          <w:p w14:paraId="4CE33DF2">
            <w:pPr>
              <w:spacing w:line="5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活动视觉创意与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设计</w:t>
            </w:r>
          </w:p>
        </w:tc>
        <w:tc>
          <w:tcPr>
            <w:tcW w:w="4138" w:type="dxa"/>
            <w:vAlign w:val="center"/>
          </w:tcPr>
          <w:p w14:paraId="44D4BAE6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展示主体视觉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创意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主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视觉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形象、海报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延展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物料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设计。</w:t>
            </w:r>
          </w:p>
        </w:tc>
        <w:tc>
          <w:tcPr>
            <w:tcW w:w="2035" w:type="dxa"/>
          </w:tcPr>
          <w:p w14:paraId="22492D64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3月28日前</w:t>
            </w:r>
          </w:p>
        </w:tc>
      </w:tr>
      <w:tr w14:paraId="00EB5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  <w:vAlign w:val="center"/>
          </w:tcPr>
          <w:p w14:paraId="712E9C79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665" w:type="dxa"/>
            <w:vAlign w:val="center"/>
          </w:tcPr>
          <w:p w14:paraId="6439ECF3">
            <w:pPr>
              <w:spacing w:line="5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物料制作及布展</w:t>
            </w:r>
          </w:p>
        </w:tc>
        <w:tc>
          <w:tcPr>
            <w:tcW w:w="4138" w:type="dxa"/>
            <w:vAlign w:val="center"/>
          </w:tcPr>
          <w:p w14:paraId="6657A585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highlight w:val="yellow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活动主视觉展板、前言及章节介绍、内容制作、大型画面物料、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展示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动线导视、主题打卡区装置及现场物料；活动现场搭建，各个区域划分，动线设计、灯光设备，氛围装置，相关活动海报等。</w:t>
            </w:r>
          </w:p>
        </w:tc>
        <w:tc>
          <w:tcPr>
            <w:tcW w:w="2035" w:type="dxa"/>
          </w:tcPr>
          <w:p w14:paraId="38EDD3B1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4月15日前</w:t>
            </w:r>
          </w:p>
          <w:p w14:paraId="5B3F05D5"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BE1D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  <w:vAlign w:val="center"/>
          </w:tcPr>
          <w:p w14:paraId="4ED9754E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1665" w:type="dxa"/>
            <w:vAlign w:val="center"/>
          </w:tcPr>
          <w:p w14:paraId="1B80A314">
            <w:pPr>
              <w:spacing w:line="5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活动突发事件应急预案</w:t>
            </w:r>
          </w:p>
        </w:tc>
        <w:tc>
          <w:tcPr>
            <w:tcW w:w="4138" w:type="dxa"/>
            <w:vAlign w:val="center"/>
          </w:tcPr>
          <w:p w14:paraId="6161AD7F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需根据活动性质、场地环境等提供相应的突发事件应急预案。 </w:t>
            </w:r>
          </w:p>
        </w:tc>
        <w:tc>
          <w:tcPr>
            <w:tcW w:w="2035" w:type="dxa"/>
          </w:tcPr>
          <w:p w14:paraId="58B9ADA0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highlight w:val="yellow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4月10日前</w:t>
            </w:r>
          </w:p>
        </w:tc>
      </w:tr>
      <w:tr w14:paraId="4F8ED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  <w:vAlign w:val="center"/>
          </w:tcPr>
          <w:p w14:paraId="3C5B066B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65" w:type="dxa"/>
            <w:vAlign w:val="center"/>
          </w:tcPr>
          <w:p w14:paraId="3B687265">
            <w:pPr>
              <w:spacing w:line="500" w:lineRule="exac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展期维护</w:t>
            </w:r>
          </w:p>
        </w:tc>
        <w:tc>
          <w:tcPr>
            <w:tcW w:w="4138" w:type="dxa"/>
            <w:vAlign w:val="center"/>
          </w:tcPr>
          <w:p w14:paraId="48B02726">
            <w:pPr>
              <w:spacing w:line="360" w:lineRule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负责整个展示活动期间展品维护、修善、物料补充等。</w:t>
            </w:r>
          </w:p>
        </w:tc>
        <w:tc>
          <w:tcPr>
            <w:tcW w:w="2035" w:type="dxa"/>
          </w:tcPr>
          <w:p w14:paraId="63288C70">
            <w:pPr>
              <w:spacing w:line="360" w:lineRule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开展日至撤展日</w:t>
            </w:r>
          </w:p>
        </w:tc>
      </w:tr>
      <w:tr w14:paraId="2461B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  <w:shd w:val="clear" w:color="auto" w:fill="auto"/>
            <w:vAlign w:val="center"/>
          </w:tcPr>
          <w:p w14:paraId="2F350D90"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62583417">
            <w:pPr>
              <w:spacing w:line="5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撤展</w:t>
            </w:r>
          </w:p>
        </w:tc>
        <w:tc>
          <w:tcPr>
            <w:tcW w:w="4138" w:type="dxa"/>
            <w:shd w:val="clear" w:color="auto" w:fill="auto"/>
            <w:vAlign w:val="center"/>
          </w:tcPr>
          <w:p w14:paraId="4E50C84E">
            <w:pPr>
              <w:spacing w:line="360" w:lineRule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展示物料等拆除及场地清洁。</w:t>
            </w:r>
          </w:p>
        </w:tc>
        <w:tc>
          <w:tcPr>
            <w:tcW w:w="2035" w:type="dxa"/>
            <w:shd w:val="clear" w:color="auto" w:fill="auto"/>
            <w:vAlign w:val="top"/>
          </w:tcPr>
          <w:p w14:paraId="48FF6057">
            <w:pPr>
              <w:spacing w:line="360" w:lineRule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展期结束2天内</w:t>
            </w:r>
          </w:p>
        </w:tc>
      </w:tr>
    </w:tbl>
    <w:p w14:paraId="70CC9A06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技术要求</w:t>
      </w:r>
    </w:p>
    <w:p w14:paraId="02871FAA">
      <w:pPr>
        <w:pStyle w:val="20"/>
        <w:numPr>
          <w:ilvl w:val="0"/>
          <w:numId w:val="2"/>
        </w:numPr>
        <w:spacing w:line="578" w:lineRule="exact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项目管理要求</w:t>
      </w:r>
    </w:p>
    <w:p w14:paraId="1673C992">
      <w:pPr>
        <w:ind w:left="3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（1）项目各阶段需提供详细的项目计划。</w:t>
      </w:r>
    </w:p>
    <w:p w14:paraId="2A9B9EA9">
      <w:pPr>
        <w:ind w:left="3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（2）定期与采购单位召开项目沟通交流会。</w:t>
      </w:r>
    </w:p>
    <w:p w14:paraId="679F2CD7">
      <w:pPr>
        <w:ind w:left="3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（3）提出切实可行的项目质量控制手段，并落实执行。</w:t>
      </w:r>
    </w:p>
    <w:p w14:paraId="321CB0EF">
      <w:pPr>
        <w:ind w:left="3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（4）按照合同签订的服务条款要求验收，及时提供全面的项目文档。</w:t>
      </w:r>
    </w:p>
    <w:p w14:paraId="24CA8052">
      <w:pPr>
        <w:pStyle w:val="20"/>
        <w:numPr>
          <w:ilvl w:val="0"/>
          <w:numId w:val="2"/>
        </w:numPr>
        <w:spacing w:line="578" w:lineRule="exact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人员要求</w:t>
      </w:r>
    </w:p>
    <w:p w14:paraId="428A20FE">
      <w:pPr>
        <w:ind w:left="3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（1）投标人要明确项目团队人员构成（人员数量、从业经历、职责分工等）。</w:t>
      </w:r>
    </w:p>
    <w:p w14:paraId="4F3D0F05">
      <w:pPr>
        <w:ind w:left="3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（2）人员素质：项目团队主要人员要求具备大专或以上学历，从事文化行业工作3年以上（截止时间为2025年12月31日），具备丰富的展览策划设计能力等。</w:t>
      </w:r>
    </w:p>
    <w:p w14:paraId="4C129650">
      <w:pPr>
        <w:ind w:left="3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（3）在项目实施阶段，不允许中途更换项目主要人员。确保项目按期、按质完成。</w:t>
      </w:r>
    </w:p>
    <w:p w14:paraId="6589AE0E">
      <w:pPr>
        <w:pStyle w:val="20"/>
        <w:numPr>
          <w:ilvl w:val="0"/>
          <w:numId w:val="2"/>
        </w:numPr>
        <w:spacing w:line="578" w:lineRule="exact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服务要求</w:t>
      </w:r>
    </w:p>
    <w:p w14:paraId="516432AE">
      <w:pPr>
        <w:ind w:left="3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成交供应商</w:t>
      </w:r>
      <w:r>
        <w:rPr>
          <w:rFonts w:hint="eastAsia" w:ascii="仿宋" w:hAnsi="仿宋" w:eastAsia="仿宋" w:cs="仿宋"/>
          <w:sz w:val="28"/>
          <w:szCs w:val="28"/>
        </w:rPr>
        <w:t>根据采购人提供的图文资料进行图文处理及排版，展示的内容及标识保证图案字迹清晰牢固，符合国家语言文字通用标准，符合图书馆展示活动的定位。</w:t>
      </w:r>
    </w:p>
    <w:p w14:paraId="54790DE8">
      <w:pPr>
        <w:ind w:left="3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成交供应商</w:t>
      </w:r>
      <w:r>
        <w:rPr>
          <w:rFonts w:hint="eastAsia" w:ascii="仿宋" w:hAnsi="仿宋" w:eastAsia="仿宋" w:cs="仿宋"/>
          <w:sz w:val="28"/>
          <w:szCs w:val="28"/>
        </w:rPr>
        <w:t>应认真核对文字、标识等内容，最终设计方案需由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采购人</w:t>
      </w:r>
      <w:r>
        <w:rPr>
          <w:rFonts w:hint="eastAsia" w:ascii="仿宋" w:hAnsi="仿宋" w:eastAsia="仿宋" w:cs="仿宋"/>
          <w:sz w:val="28"/>
          <w:szCs w:val="28"/>
        </w:rPr>
        <w:t>校核确认后方可执行，因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</w:rPr>
        <w:t>原因导致的损失由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</w:rPr>
        <w:t>负全责。</w:t>
      </w:r>
    </w:p>
    <w:p w14:paraId="5CFAD6C3">
      <w:pPr>
        <w:ind w:left="3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（3）物料制作要确保色彩准确性和清晰度，展板、宣传单、宣传册、海报等物料的制作质量达到业内专业或以上水准。</w:t>
      </w:r>
    </w:p>
    <w:p w14:paraId="0BA73C63">
      <w:pPr>
        <w:ind w:left="3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（4）项目从设计到布置应符合双方审定设计方案的各项要求，在开展前约定时间内完成展示活动区域的搭建、展品摆放。</w:t>
      </w:r>
    </w:p>
    <w:p w14:paraId="52179B4F">
      <w:pPr>
        <w:ind w:left="3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（5）展示区设计、制作、运输、安装、维护管理、拆除及其他软性服务均由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</w:rPr>
        <w:t>提供。</w:t>
      </w:r>
    </w:p>
    <w:p w14:paraId="34BD6A72">
      <w:pPr>
        <w:pStyle w:val="20"/>
        <w:numPr>
          <w:ilvl w:val="0"/>
          <w:numId w:val="2"/>
        </w:numPr>
        <w:spacing w:line="578" w:lineRule="exact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售后服务要求</w:t>
      </w:r>
    </w:p>
    <w:p w14:paraId="0F3C1092">
      <w:pPr>
        <w:ind w:left="3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（1）质保期需与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采购人</w:t>
      </w:r>
      <w:r>
        <w:rPr>
          <w:rFonts w:hint="eastAsia" w:ascii="仿宋" w:hAnsi="仿宋" w:eastAsia="仿宋" w:cs="仿宋"/>
          <w:sz w:val="28"/>
          <w:szCs w:val="28"/>
        </w:rPr>
        <w:t>约定的展示活动时间相同。</w:t>
      </w:r>
    </w:p>
    <w:p w14:paraId="0EF22076">
      <w:pPr>
        <w:ind w:left="3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成交供应商</w:t>
      </w:r>
      <w:r>
        <w:rPr>
          <w:rFonts w:hint="eastAsia" w:ascii="仿宋" w:hAnsi="仿宋" w:eastAsia="仿宋" w:cs="仿宋"/>
          <w:sz w:val="28"/>
          <w:szCs w:val="28"/>
        </w:rPr>
        <w:t>需承诺在该项目展示活动期间内，免费为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采购人</w:t>
      </w:r>
      <w:r>
        <w:rPr>
          <w:rFonts w:hint="eastAsia" w:ascii="仿宋" w:hAnsi="仿宋" w:eastAsia="仿宋" w:cs="仿宋"/>
          <w:sz w:val="28"/>
          <w:szCs w:val="28"/>
        </w:rPr>
        <w:t>提供合同货物的技术指导及服务，并指派专人联系售后服务。展览物料在使用过程中发生脱落损坏等问题，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</w:rPr>
        <w:t>保证在接到通知24小时内进行修理或更换。</w:t>
      </w:r>
    </w:p>
    <w:p w14:paraId="1E724915">
      <w:pPr>
        <w:pStyle w:val="20"/>
        <w:numPr>
          <w:ilvl w:val="0"/>
          <w:numId w:val="2"/>
        </w:numPr>
        <w:spacing w:line="578" w:lineRule="exact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知识产权要求</w:t>
      </w:r>
    </w:p>
    <w:p w14:paraId="555251E9">
      <w:pPr>
        <w:ind w:left="3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</w:rPr>
        <w:t>应提交未侵犯他人知识产权的书面承诺，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采购人</w:t>
      </w:r>
      <w:r>
        <w:rPr>
          <w:rFonts w:hint="eastAsia" w:ascii="仿宋" w:hAnsi="仿宋" w:eastAsia="仿宋" w:cs="仿宋"/>
          <w:sz w:val="28"/>
          <w:szCs w:val="28"/>
        </w:rPr>
        <w:t>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成交供应商</w:t>
      </w:r>
      <w:r>
        <w:rPr>
          <w:rFonts w:hint="eastAsia" w:ascii="仿宋" w:hAnsi="仿宋" w:eastAsia="仿宋" w:cs="仿宋"/>
          <w:sz w:val="28"/>
          <w:szCs w:val="28"/>
        </w:rPr>
        <w:t>签订协议时应约定相应的违约责任。</w:t>
      </w:r>
    </w:p>
    <w:p w14:paraId="0A4C6EAF">
      <w:pPr>
        <w:ind w:left="3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成交供应商</w:t>
      </w:r>
      <w:r>
        <w:rPr>
          <w:rFonts w:hint="eastAsia" w:ascii="仿宋" w:hAnsi="仿宋" w:eastAsia="仿宋" w:cs="仿宋"/>
          <w:sz w:val="28"/>
          <w:szCs w:val="28"/>
        </w:rPr>
        <w:t>应承诺未经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采购人</w:t>
      </w:r>
      <w:r>
        <w:rPr>
          <w:rFonts w:hint="eastAsia" w:ascii="仿宋" w:hAnsi="仿宋" w:eastAsia="仿宋" w:cs="仿宋"/>
          <w:sz w:val="28"/>
          <w:szCs w:val="28"/>
        </w:rPr>
        <w:t>书面同意，不得将项目中的文字和图像提供给第三方。</w:t>
      </w:r>
    </w:p>
    <w:p w14:paraId="68F323FA">
      <w:pPr>
        <w:ind w:left="3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（3）本项目所产生的成果归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采购人</w:t>
      </w:r>
      <w:r>
        <w:rPr>
          <w:rFonts w:hint="eastAsia" w:ascii="仿宋" w:hAnsi="仿宋" w:eastAsia="仿宋" w:cs="仿宋"/>
          <w:sz w:val="28"/>
          <w:szCs w:val="28"/>
        </w:rPr>
        <w:t>所有。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采购人</w:t>
      </w:r>
      <w:r>
        <w:rPr>
          <w:rFonts w:hint="eastAsia" w:ascii="仿宋" w:hAnsi="仿宋" w:eastAsia="仿宋" w:cs="仿宋"/>
          <w:sz w:val="28"/>
          <w:szCs w:val="28"/>
        </w:rPr>
        <w:t>有权公开展示本次成果，并通过传播媒介、专业杂志、书刊等其他形式介绍、展示等。</w:t>
      </w:r>
    </w:p>
    <w:p w14:paraId="51F6DB18">
      <w:pPr>
        <w:pStyle w:val="2"/>
        <w:spacing w:before="240"/>
        <w:ind w:left="0"/>
        <w:rPr>
          <w:rFonts w:hint="eastAsia" w:ascii="仿宋" w:hAnsi="仿宋" w:eastAsia="仿宋" w:cs="仿宋"/>
          <w:b/>
          <w:bCs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eastAsia="zh-CN"/>
        </w:rPr>
        <w:t>三、商务要求</w:t>
      </w:r>
    </w:p>
    <w:p w14:paraId="637EFEB6">
      <w:pPr>
        <w:spacing w:line="578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（一）服务期限：</w:t>
      </w:r>
    </w:p>
    <w:p w14:paraId="3B51FD82">
      <w:pPr>
        <w:spacing w:line="578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合同签订之日起至撤展之日</w:t>
      </w:r>
    </w:p>
    <w:p w14:paraId="3E94FC1A">
      <w:pPr>
        <w:spacing w:line="578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（二）交付地点：</w:t>
      </w:r>
    </w:p>
    <w:p w14:paraId="3C949130">
      <w:pPr>
        <w:spacing w:line="578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深圳图书馆北馆1F悦读大厅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及5F</w:t>
      </w:r>
      <w:r>
        <w:rPr>
          <w:rFonts w:hint="eastAsia" w:ascii="仿宋" w:hAnsi="仿宋" w:eastAsia="仿宋" w:cs="仿宋"/>
          <w:sz w:val="28"/>
          <w:szCs w:val="28"/>
        </w:rPr>
        <w:t>综合展厅</w:t>
      </w:r>
    </w:p>
    <w:p w14:paraId="5992DA9A">
      <w:pPr>
        <w:spacing w:line="578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（三）报价要求</w:t>
      </w:r>
    </w:p>
    <w:p w14:paraId="4E1A76A2">
      <w:pPr>
        <w:pStyle w:val="20"/>
        <w:numPr>
          <w:ilvl w:val="0"/>
          <w:numId w:val="3"/>
        </w:numPr>
        <w:ind w:left="0" w:firstLine="420" w:firstLineChars="1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不得高于预算，报价超出预算限额的将为无效响应。</w:t>
      </w:r>
    </w:p>
    <w:p w14:paraId="4C6C63F4">
      <w:pPr>
        <w:pStyle w:val="20"/>
        <w:numPr>
          <w:ilvl w:val="0"/>
          <w:numId w:val="3"/>
        </w:numPr>
        <w:ind w:left="0" w:firstLine="420" w:firstLineChars="1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本项目按总价报价，服务费采用包干制，应包括服务成本、法定税费和企业的利润。由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</w:rPr>
        <w:t>根据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</w:t>
      </w:r>
      <w:r>
        <w:rPr>
          <w:rFonts w:hint="eastAsia" w:ascii="仿宋" w:hAnsi="仿宋" w:eastAsia="仿宋" w:cs="仿宋"/>
          <w:sz w:val="28"/>
          <w:szCs w:val="28"/>
        </w:rPr>
        <w:t>文件所提供的资料自行测算投标报价；一经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sz w:val="28"/>
          <w:szCs w:val="28"/>
        </w:rPr>
        <w:t>报价总价作为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成交供应商</w:t>
      </w:r>
      <w:r>
        <w:rPr>
          <w:rFonts w:hint="eastAsia" w:ascii="仿宋" w:hAnsi="仿宋" w:eastAsia="仿宋" w:cs="仿宋"/>
          <w:sz w:val="28"/>
          <w:szCs w:val="28"/>
        </w:rPr>
        <w:t>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采购人</w:t>
      </w:r>
      <w:r>
        <w:rPr>
          <w:rFonts w:hint="eastAsia" w:ascii="仿宋" w:hAnsi="仿宋" w:eastAsia="仿宋" w:cs="仿宋"/>
          <w:sz w:val="28"/>
          <w:szCs w:val="28"/>
        </w:rPr>
        <w:t>签定的合同金额，合同期限内不做调整。</w:t>
      </w:r>
    </w:p>
    <w:p w14:paraId="021761EE">
      <w:pPr>
        <w:pStyle w:val="20"/>
        <w:numPr>
          <w:ilvl w:val="0"/>
          <w:numId w:val="3"/>
        </w:numPr>
        <w:ind w:left="0" w:firstLine="420" w:firstLineChars="1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投标人不得以低于成本的报价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sz w:val="28"/>
          <w:szCs w:val="28"/>
        </w:rPr>
        <w:t>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评审</w:t>
      </w:r>
      <w:r>
        <w:rPr>
          <w:rFonts w:hint="eastAsia" w:ascii="仿宋" w:hAnsi="仿宋" w:eastAsia="仿宋" w:cs="仿宋"/>
          <w:sz w:val="28"/>
          <w:szCs w:val="28"/>
        </w:rPr>
        <w:t>委员会认为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</w:rPr>
        <w:t>的报价明显低于其他通过符合性审查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</w:rPr>
        <w:t>的报价，有可能影响服务质量或者不能诚信履约的，应当要求其在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评审</w:t>
      </w:r>
      <w:r>
        <w:rPr>
          <w:rFonts w:hint="eastAsia" w:ascii="仿宋" w:hAnsi="仿宋" w:eastAsia="仿宋" w:cs="仿宋"/>
          <w:sz w:val="28"/>
          <w:szCs w:val="28"/>
        </w:rPr>
        <w:t>现场合理的时间内提供书面说明，必要时提交相关证明材料，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</w:rPr>
        <w:t>不能证明其报价合理性的，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评审</w:t>
      </w:r>
      <w:r>
        <w:rPr>
          <w:rFonts w:hint="eastAsia" w:ascii="仿宋" w:hAnsi="仿宋" w:eastAsia="仿宋" w:cs="仿宋"/>
          <w:sz w:val="28"/>
          <w:szCs w:val="28"/>
        </w:rPr>
        <w:t>委员会应当将其作为无效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sz w:val="28"/>
          <w:szCs w:val="28"/>
        </w:rPr>
        <w:t>处理。</w:t>
      </w:r>
    </w:p>
    <w:p w14:paraId="192C9DD4">
      <w:pPr>
        <w:spacing w:line="578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（四）付款方式</w:t>
      </w:r>
    </w:p>
    <w:p w14:paraId="6C73C40E">
      <w:pPr>
        <w:spacing w:line="578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以合同约定付款方式为准。</w:t>
      </w:r>
    </w:p>
    <w:p w14:paraId="4E0A17E7">
      <w:pPr>
        <w:spacing w:line="578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（五）其他要求</w:t>
      </w:r>
    </w:p>
    <w:p w14:paraId="72A562D0">
      <w:pPr>
        <w:pStyle w:val="20"/>
        <w:numPr>
          <w:ilvl w:val="0"/>
          <w:numId w:val="4"/>
        </w:numPr>
        <w:ind w:left="0" w:firstLine="420" w:firstLineChars="1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</w:rPr>
        <w:t>应提供分项报价清单，各项报价清单尽量以“单价*数量”的形式呈现，对各类物料材质、规格、性能等简要说明。</w:t>
      </w:r>
    </w:p>
    <w:p w14:paraId="2A6985BE">
      <w:pPr>
        <w:pStyle w:val="20"/>
        <w:numPr>
          <w:ilvl w:val="0"/>
          <w:numId w:val="4"/>
        </w:numPr>
        <w:ind w:left="0" w:firstLine="420" w:firstLineChars="1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服务时限以项目服务需求清单时限为准，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成交供应商</w:t>
      </w:r>
      <w:r>
        <w:rPr>
          <w:rFonts w:hint="eastAsia" w:ascii="仿宋" w:hAnsi="仿宋" w:eastAsia="仿宋" w:cs="仿宋"/>
          <w:sz w:val="28"/>
          <w:szCs w:val="28"/>
        </w:rPr>
        <w:t>应在合同期限内，配合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采购人</w:t>
      </w:r>
      <w:r>
        <w:rPr>
          <w:rFonts w:hint="eastAsia" w:ascii="仿宋" w:hAnsi="仿宋" w:eastAsia="仿宋" w:cs="仿宋"/>
          <w:sz w:val="28"/>
          <w:szCs w:val="28"/>
        </w:rPr>
        <w:t>对本项目相关规划设计进行动态调整。</w:t>
      </w:r>
    </w:p>
    <w:p w14:paraId="31B75572">
      <w:pPr>
        <w:pStyle w:val="2"/>
        <w:spacing w:before="240"/>
        <w:ind w:left="0"/>
        <w:rPr>
          <w:rFonts w:hint="eastAsia" w:ascii="仿宋" w:hAnsi="仿宋" w:eastAsia="仿宋" w:cs="仿宋"/>
          <w:kern w:val="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eastAsia="zh-CN"/>
        </w:rPr>
        <w:t>四、评标标准和方法细则</w:t>
      </w:r>
    </w:p>
    <w:p w14:paraId="496C9545">
      <w:pPr>
        <w:adjustRightInd w:val="0"/>
        <w:snapToGrid w:val="0"/>
        <w:spacing w:line="360" w:lineRule="auto"/>
        <w:outlineLvl w:val="1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（一）评审标准</w:t>
      </w:r>
    </w:p>
    <w:p w14:paraId="1665CF70">
      <w:pPr>
        <w:adjustRightInd w:val="0"/>
        <w:snapToGrid w:val="0"/>
        <w:spacing w:line="360" w:lineRule="auto"/>
        <w:ind w:firstLine="560" w:firstLineChars="200"/>
        <w:outlineLvl w:val="1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深圳图书馆组织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评审</w:t>
      </w:r>
      <w:r>
        <w:rPr>
          <w:rFonts w:hint="eastAsia" w:ascii="仿宋" w:hAnsi="仿宋" w:eastAsia="仿宋" w:cs="仿宋"/>
          <w:sz w:val="28"/>
          <w:szCs w:val="28"/>
        </w:rPr>
        <w:t>委员会召开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评审</w:t>
      </w:r>
      <w:r>
        <w:rPr>
          <w:rFonts w:hint="eastAsia" w:ascii="仿宋" w:hAnsi="仿宋" w:eastAsia="仿宋" w:cs="仿宋"/>
          <w:sz w:val="28"/>
          <w:szCs w:val="28"/>
        </w:rPr>
        <w:t>会议。</w:t>
      </w:r>
    </w:p>
    <w:p w14:paraId="7A46485E">
      <w:pPr>
        <w:adjustRightInd w:val="0"/>
        <w:snapToGrid w:val="0"/>
        <w:spacing w:line="360" w:lineRule="auto"/>
        <w:ind w:firstLine="560" w:firstLineChars="200"/>
        <w:outlineLvl w:val="1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评审</w:t>
      </w:r>
      <w:r>
        <w:rPr>
          <w:rFonts w:hint="eastAsia" w:ascii="仿宋" w:hAnsi="仿宋" w:eastAsia="仿宋" w:cs="仿宋"/>
          <w:sz w:val="28"/>
          <w:szCs w:val="28"/>
        </w:rPr>
        <w:t>前，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评审</w:t>
      </w:r>
      <w:r>
        <w:rPr>
          <w:rFonts w:hint="eastAsia" w:ascii="仿宋" w:hAnsi="仿宋" w:eastAsia="仿宋" w:cs="仿宋"/>
          <w:sz w:val="28"/>
          <w:szCs w:val="28"/>
        </w:rPr>
        <w:t>委员会将对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</w:rPr>
        <w:t>进行资格审查，初审不通过的，不得参与本次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评审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4704F25A">
      <w:pPr>
        <w:adjustRightInd w:val="0"/>
        <w:snapToGrid w:val="0"/>
        <w:spacing w:line="360" w:lineRule="auto"/>
        <w:ind w:firstLine="560" w:firstLineChars="200"/>
        <w:outlineLvl w:val="1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评审</w:t>
      </w:r>
      <w:r>
        <w:rPr>
          <w:rFonts w:hint="eastAsia" w:ascii="仿宋" w:hAnsi="仿宋" w:eastAsia="仿宋" w:cs="仿宋"/>
          <w:sz w:val="28"/>
          <w:szCs w:val="28"/>
        </w:rPr>
        <w:t>委员会将按照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</w:t>
      </w:r>
      <w:r>
        <w:rPr>
          <w:rFonts w:hint="eastAsia" w:ascii="仿宋" w:hAnsi="仿宋" w:eastAsia="仿宋" w:cs="仿宋"/>
          <w:sz w:val="28"/>
          <w:szCs w:val="28"/>
        </w:rPr>
        <w:t>文件和有关法律法规的规定，本着公平、公正、科学、择优的原则，对初审合格的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响应文件</w:t>
      </w:r>
      <w:r>
        <w:rPr>
          <w:rFonts w:hint="eastAsia" w:ascii="仿宋" w:hAnsi="仿宋" w:eastAsia="仿宋" w:cs="仿宋"/>
          <w:sz w:val="28"/>
          <w:szCs w:val="28"/>
        </w:rPr>
        <w:t>进行各方面的综合评议。</w:t>
      </w:r>
    </w:p>
    <w:p w14:paraId="28238C06">
      <w:pPr>
        <w:adjustRightInd w:val="0"/>
        <w:snapToGrid w:val="0"/>
        <w:spacing w:line="360" w:lineRule="auto"/>
        <w:outlineLvl w:val="1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（二）评审方法</w:t>
      </w:r>
    </w:p>
    <w:p w14:paraId="476EEEEB">
      <w:pPr>
        <w:adjustRightInd w:val="0"/>
        <w:snapToGrid w:val="0"/>
        <w:spacing w:line="360" w:lineRule="auto"/>
        <w:ind w:firstLine="560" w:firstLineChars="200"/>
        <w:outlineLvl w:val="1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本项目采用综合评分法。</w:t>
      </w:r>
    </w:p>
    <w:p w14:paraId="05524D4D">
      <w:pPr>
        <w:adjustRightInd w:val="0"/>
        <w:snapToGrid w:val="0"/>
        <w:spacing w:line="360" w:lineRule="auto"/>
        <w:outlineLvl w:val="1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（三）评分细则</w:t>
      </w:r>
    </w:p>
    <w:p w14:paraId="7EBDCEFB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</w:t>
      </w:r>
      <w:bookmarkStart w:id="0" w:name="OLE_LINK2"/>
      <w:r>
        <w:rPr>
          <w:rFonts w:hint="eastAsia" w:ascii="仿宋" w:hAnsi="仿宋" w:eastAsia="仿宋" w:cs="仿宋"/>
          <w:sz w:val="28"/>
          <w:szCs w:val="28"/>
        </w:rPr>
        <w:t>评分表由商务、服务和价格三部分组成</w:t>
      </w:r>
      <w:bookmarkEnd w:id="0"/>
      <w:r>
        <w:rPr>
          <w:rFonts w:hint="eastAsia" w:ascii="仿宋" w:hAnsi="仿宋" w:eastAsia="仿宋" w:cs="仿宋"/>
          <w:sz w:val="28"/>
          <w:szCs w:val="28"/>
        </w:rPr>
        <w:t>，商务部分25分，服务部分55分，价格部分20分，总分100分。</w:t>
      </w:r>
    </w:p>
    <w:p w14:paraId="7B4C014D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（2）每个评委独立评分，所有评委评分的算术平均值，加上以招标文件规定的方法计算出的价格分，即为每个投标人的最终得分。</w:t>
      </w:r>
    </w:p>
    <w:p w14:paraId="7EF0C7A0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（3）单个投标人的评标最终得分为所有评委评分的算术平均值。</w:t>
      </w:r>
    </w:p>
    <w:p w14:paraId="239BEB4B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（4）评委评分、价格分和评审最终得分均保留两位小数。</w:t>
      </w:r>
    </w:p>
    <w:p w14:paraId="7B61FEF7">
      <w:pPr>
        <w:adjustRightInd w:val="0"/>
        <w:snapToGrid w:val="0"/>
        <w:spacing w:line="360" w:lineRule="auto"/>
        <w:outlineLvl w:val="1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1、商务评分表（25分）</w:t>
      </w:r>
    </w:p>
    <w:tbl>
      <w:tblPr>
        <w:tblStyle w:val="9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309"/>
        <w:gridCol w:w="5553"/>
        <w:gridCol w:w="939"/>
      </w:tblGrid>
      <w:tr w14:paraId="164425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743" w:type="dxa"/>
          </w:tcPr>
          <w:p w14:paraId="31D3A218"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379" w:type="dxa"/>
          </w:tcPr>
          <w:p w14:paraId="16F6B3B1"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评审项目</w:t>
            </w:r>
          </w:p>
        </w:tc>
        <w:tc>
          <w:tcPr>
            <w:tcW w:w="5953" w:type="dxa"/>
          </w:tcPr>
          <w:p w14:paraId="5A6CE7A9"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评审细则</w:t>
            </w:r>
          </w:p>
        </w:tc>
        <w:tc>
          <w:tcPr>
            <w:tcW w:w="979" w:type="dxa"/>
          </w:tcPr>
          <w:p w14:paraId="7C248FAF"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分值</w:t>
            </w:r>
          </w:p>
        </w:tc>
      </w:tr>
      <w:tr w14:paraId="3E42FE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</w:tcPr>
          <w:p w14:paraId="10A9918A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79" w:type="dxa"/>
          </w:tcPr>
          <w:p w14:paraId="0DFEC408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企业诚信</w:t>
            </w:r>
          </w:p>
        </w:tc>
        <w:tc>
          <w:tcPr>
            <w:tcW w:w="5953" w:type="dxa"/>
          </w:tcPr>
          <w:p w14:paraId="7394807C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提供</w:t>
            </w:r>
            <w:bookmarkStart w:id="1" w:name="OLE_LINK1"/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供应商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无侵权记录承诺书、</w:t>
            </w:r>
            <w:bookmarkEnd w:id="1"/>
            <w:r>
              <w:rPr>
                <w:rFonts w:hint="eastAsia" w:ascii="仿宋" w:hAnsi="仿宋" w:eastAsia="仿宋" w:cs="仿宋"/>
                <w:sz w:val="24"/>
                <w:szCs w:val="24"/>
              </w:rPr>
              <w:t>诚信声明和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履约承诺书。提供一项得2分，此项最多得6分。</w:t>
            </w:r>
          </w:p>
        </w:tc>
        <w:tc>
          <w:tcPr>
            <w:tcW w:w="979" w:type="dxa"/>
          </w:tcPr>
          <w:p w14:paraId="24387B41"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6</w:t>
            </w:r>
          </w:p>
        </w:tc>
      </w:tr>
      <w:tr w14:paraId="6409B5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743" w:type="dxa"/>
            <w:vMerge w:val="restart"/>
          </w:tcPr>
          <w:p w14:paraId="2AC36B94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379" w:type="dxa"/>
            <w:vMerge w:val="restart"/>
          </w:tcPr>
          <w:p w14:paraId="0AA93D44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同类业绩</w:t>
            </w:r>
          </w:p>
        </w:tc>
        <w:tc>
          <w:tcPr>
            <w:tcW w:w="5953" w:type="dxa"/>
          </w:tcPr>
          <w:p w14:paraId="7B06D9DE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 xml:space="preserve">提供以往承担的主题展示项目案例3份。提供1份得3分，提供2份得6分，提供3份得9分，此项最多得9分。                                                                </w:t>
            </w:r>
          </w:p>
        </w:tc>
        <w:tc>
          <w:tcPr>
            <w:tcW w:w="979" w:type="dxa"/>
          </w:tcPr>
          <w:p w14:paraId="119E66D3"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9</w:t>
            </w:r>
          </w:p>
        </w:tc>
      </w:tr>
      <w:tr w14:paraId="03A677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vMerge w:val="continue"/>
          </w:tcPr>
          <w:p w14:paraId="348A7A59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79" w:type="dxa"/>
            <w:vMerge w:val="continue"/>
          </w:tcPr>
          <w:p w14:paraId="0433519C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53" w:type="dxa"/>
          </w:tcPr>
          <w:p w14:paraId="6815D751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考察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供应商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对以往承担项目主题把握、创意亮点、设计水平、组织实施等能力，以文化服务类展览案例为佳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,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提供已承担项目的主视觉、实施方案等。本项最高得10分，评分结果分为下列4个等级：</w:t>
            </w:r>
          </w:p>
          <w:p w14:paraId="52682D33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 xml:space="preserve">1、优：贴切主题，创新性与专业性强，展览展示兼具艺术性与适用性，分值10分； </w:t>
            </w:r>
          </w:p>
          <w:p w14:paraId="4912C218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 xml:space="preserve">2、良：符合主题，有一定的创新表现力，设计作品具有一定的艺术性与适用性，分值7分； </w:t>
            </w:r>
          </w:p>
          <w:p w14:paraId="4BDC0560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3、中：主题不突出，创新表现力不足，设计作品艺术性与适用性较弱，分值3分；</w:t>
            </w:r>
          </w:p>
          <w:p w14:paraId="45AE4AA7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4、差：提供的作品无艺术性与适用性或未提供作品，不得分。</w:t>
            </w:r>
          </w:p>
        </w:tc>
        <w:tc>
          <w:tcPr>
            <w:tcW w:w="979" w:type="dxa"/>
          </w:tcPr>
          <w:p w14:paraId="7B48BFD2"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10</w:t>
            </w:r>
          </w:p>
        </w:tc>
      </w:tr>
      <w:tr w14:paraId="15BE1D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75" w:type="dxa"/>
            <w:gridSpan w:val="3"/>
          </w:tcPr>
          <w:p w14:paraId="104AD66E"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979" w:type="dxa"/>
          </w:tcPr>
          <w:p w14:paraId="3C7EEBE7"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25</w:t>
            </w:r>
          </w:p>
        </w:tc>
      </w:tr>
    </w:tbl>
    <w:p w14:paraId="7759AA43">
      <w:pPr>
        <w:numPr>
          <w:ilvl w:val="0"/>
          <w:numId w:val="5"/>
        </w:numPr>
        <w:adjustRightInd w:val="0"/>
        <w:snapToGrid w:val="0"/>
        <w:spacing w:line="360" w:lineRule="auto"/>
        <w:outlineLvl w:val="1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服务评分表（55分）</w:t>
      </w:r>
    </w:p>
    <w:tbl>
      <w:tblPr>
        <w:tblStyle w:val="9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327"/>
        <w:gridCol w:w="5542"/>
        <w:gridCol w:w="951"/>
      </w:tblGrid>
      <w:tr w14:paraId="3418BF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</w:tcPr>
          <w:p w14:paraId="75B3A157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399" w:type="dxa"/>
          </w:tcPr>
          <w:p w14:paraId="304A2E6E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评审项目</w:t>
            </w:r>
          </w:p>
        </w:tc>
        <w:tc>
          <w:tcPr>
            <w:tcW w:w="5925" w:type="dxa"/>
          </w:tcPr>
          <w:p w14:paraId="649ED649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评审细则</w:t>
            </w:r>
          </w:p>
        </w:tc>
        <w:tc>
          <w:tcPr>
            <w:tcW w:w="992" w:type="dxa"/>
          </w:tcPr>
          <w:p w14:paraId="0E75A486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分值</w:t>
            </w:r>
          </w:p>
        </w:tc>
      </w:tr>
      <w:tr w14:paraId="05027B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vMerge w:val="restart"/>
          </w:tcPr>
          <w:p w14:paraId="15C3A430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99" w:type="dxa"/>
            <w:vMerge w:val="restart"/>
          </w:tcPr>
          <w:p w14:paraId="083D2B4F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项目方案总体规划</w:t>
            </w:r>
          </w:p>
        </w:tc>
        <w:tc>
          <w:tcPr>
            <w:tcW w:w="5925" w:type="dxa"/>
          </w:tcPr>
          <w:p w14:paraId="3992A5AC">
            <w:pPr>
              <w:widowControl/>
              <w:spacing w:line="360" w:lineRule="auto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对项目展示内容、展示形式、项目特点理解准确，对项目总体认识到位。优得15分，良</w:t>
            </w:r>
            <w:bookmarkStart w:id="2" w:name="OLE_LINK20"/>
            <w:bookmarkStart w:id="3" w:name="OLE_LINK19"/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得</w:t>
            </w:r>
            <w:bookmarkEnd w:id="2"/>
            <w:bookmarkEnd w:id="3"/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10分，中得5分，差不得分。</w:t>
            </w:r>
          </w:p>
          <w:p w14:paraId="2522F3BB">
            <w:pPr>
              <w:widowControl/>
              <w:spacing w:line="360" w:lineRule="auto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优：对项目整体认知深刻，风格把握到位，对项目展示内容、展示形式、环节重点亮点理解准确，项目初步方案内容详实，创新性强。</w:t>
            </w:r>
          </w:p>
          <w:p w14:paraId="4286F469">
            <w:pPr>
              <w:widowControl/>
              <w:spacing w:line="360" w:lineRule="auto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良：对项目整体认知较为深入，风格把基本为到位，对项目展示内容、展示形式、环节重点亮点理解相对准确，项目初步方案设想较为具体，创新性较强。</w:t>
            </w:r>
          </w:p>
          <w:p w14:paraId="68AABEED">
            <w:pPr>
              <w:widowControl/>
              <w:spacing w:line="360" w:lineRule="auto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中：对项目整体认知一般，风格把握一般到位，对项目展示内容、展示形式、环节重点亮点理解基本准确，项目初步方案设想较为粗糙，缺乏创新性。</w:t>
            </w:r>
          </w:p>
          <w:p w14:paraId="5C754324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差：未提供方案或与本项目要求不符的。</w:t>
            </w:r>
          </w:p>
        </w:tc>
        <w:tc>
          <w:tcPr>
            <w:tcW w:w="992" w:type="dxa"/>
          </w:tcPr>
          <w:p w14:paraId="133F7A52"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15</w:t>
            </w:r>
          </w:p>
        </w:tc>
      </w:tr>
      <w:tr w14:paraId="69CD5E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vMerge w:val="continue"/>
          </w:tcPr>
          <w:p w14:paraId="46CCA336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99" w:type="dxa"/>
            <w:vMerge w:val="continue"/>
          </w:tcPr>
          <w:p w14:paraId="583F6EBA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25" w:type="dxa"/>
          </w:tcPr>
          <w:p w14:paraId="1FFEF7D3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项目整体实操性高。优得10分，良得7分，中得3分，差不得分。</w:t>
            </w:r>
          </w:p>
          <w:p w14:paraId="45671AF3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优：方案整体实操性高，结合实际情况。</w:t>
            </w:r>
          </w:p>
          <w:p w14:paraId="572457AF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良：方案整体实操性较高，贴近实际。</w:t>
            </w:r>
          </w:p>
          <w:p w14:paraId="59199409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中：方案有一定实操性，偏离实际。</w:t>
            </w:r>
          </w:p>
          <w:p w14:paraId="35F50A85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差：方案实操性低，偏离实际要求。</w:t>
            </w:r>
          </w:p>
        </w:tc>
        <w:tc>
          <w:tcPr>
            <w:tcW w:w="992" w:type="dxa"/>
          </w:tcPr>
          <w:p w14:paraId="4A8DE67E"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</w:t>
            </w:r>
            <w:bookmarkStart w:id="4" w:name="OLE_LINK18"/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0</w:t>
            </w:r>
            <w:bookmarkEnd w:id="4"/>
          </w:p>
        </w:tc>
      </w:tr>
      <w:tr w14:paraId="53C734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3" w:type="dxa"/>
            <w:vMerge w:val="restart"/>
          </w:tcPr>
          <w:p w14:paraId="4F3EB424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399" w:type="dxa"/>
            <w:vMerge w:val="restart"/>
          </w:tcPr>
          <w:p w14:paraId="1BFA5158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技术保障</w:t>
            </w:r>
          </w:p>
        </w:tc>
        <w:tc>
          <w:tcPr>
            <w:tcW w:w="5925" w:type="dxa"/>
            <w:vAlign w:val="center"/>
          </w:tcPr>
          <w:p w14:paraId="0DBA204C">
            <w:pPr>
              <w:widowControl/>
              <w:spacing w:line="360" w:lineRule="auto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 xml:space="preserve">根据投标人所提交布展搭建及撤展撤场实施方案、现场管理应急保障实施方案、沟通响应机制、版权纠纷和违约责任方案打分。每提供1份得2分，此项最多得8分。          </w:t>
            </w:r>
          </w:p>
        </w:tc>
        <w:tc>
          <w:tcPr>
            <w:tcW w:w="992" w:type="dxa"/>
          </w:tcPr>
          <w:p w14:paraId="32328D44"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8</w:t>
            </w:r>
          </w:p>
        </w:tc>
      </w:tr>
      <w:tr w14:paraId="7BBDF9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vMerge w:val="continue"/>
          </w:tcPr>
          <w:p w14:paraId="051EF874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99" w:type="dxa"/>
            <w:vMerge w:val="continue"/>
          </w:tcPr>
          <w:p w14:paraId="6CFCF6F5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25" w:type="dxa"/>
            <w:vAlign w:val="center"/>
          </w:tcPr>
          <w:p w14:paraId="34046467">
            <w:pPr>
              <w:widowControl/>
              <w:spacing w:line="360" w:lineRule="auto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根据投标人所提交布展搭建及撤展撤场实施方案、现场管理应急保障实施方案、沟通响应机制、版权纠纷和违约责任方案的科学性、完整性和可实施性整体打分。优得12分，良得</w:t>
            </w:r>
            <w:bookmarkStart w:id="5" w:name="OLE_LINK9"/>
            <w:bookmarkStart w:id="6" w:name="OLE_LINK8"/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9</w:t>
            </w:r>
            <w:bookmarkEnd w:id="5"/>
            <w:bookmarkEnd w:id="6"/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分，中得5分，差不得分。</w:t>
            </w:r>
          </w:p>
          <w:p w14:paraId="6E463953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优：服务方案明确详细、合理可行。</w:t>
            </w:r>
          </w:p>
          <w:p w14:paraId="39C03450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良：服务方案详细、基本合理。</w:t>
            </w:r>
          </w:p>
          <w:p w14:paraId="7B296C93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中：服务方案明确、合理性一般。</w:t>
            </w:r>
          </w:p>
          <w:p w14:paraId="57042027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差：服务方案不合理或未提供具体说明。</w:t>
            </w:r>
          </w:p>
        </w:tc>
        <w:tc>
          <w:tcPr>
            <w:tcW w:w="992" w:type="dxa"/>
          </w:tcPr>
          <w:p w14:paraId="09F80070"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12</w:t>
            </w:r>
          </w:p>
        </w:tc>
      </w:tr>
      <w:tr w14:paraId="2DA8AE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723" w:type="dxa"/>
          </w:tcPr>
          <w:p w14:paraId="052A45C6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399" w:type="dxa"/>
          </w:tcPr>
          <w:p w14:paraId="45C59FD6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人员配备</w:t>
            </w:r>
          </w:p>
        </w:tc>
        <w:tc>
          <w:tcPr>
            <w:tcW w:w="5925" w:type="dxa"/>
          </w:tcPr>
          <w:p w14:paraId="69BA27D9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（一）评分内容</w:t>
            </w:r>
          </w:p>
          <w:p w14:paraId="0FEB63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组建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人以上的项目执行管理团队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 w:bidi="ar"/>
              </w:rPr>
              <w:t>，包含项目负责人、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项目策划、设计师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项目执行等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 w:bidi="ar"/>
              </w:rPr>
              <w:t>。团队负责人必须具备本科及以上学历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，3年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及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以上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相关从业经验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（截止时间为2025年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月31日）。团队成员必须具备专科及以上学历，2年及以上相关从业经验。</w:t>
            </w:r>
          </w:p>
          <w:p w14:paraId="2EE48B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（二）评分依据：</w:t>
            </w:r>
          </w:p>
          <w:p w14:paraId="50EAB6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  <w:r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  <w:t>（1）须提供加盖单位公章的《团队成员身份信息及在岗职位名单》。（2）须提供学历、学位证书扫描件以及学信网查询记录。对于较早颁发的学历学位证书，学信网无法查询的，除提供证书扫描件外，可提供其他佐证材料（如投标人公司的承诺书）作为得分依据。（3）须提供符合时限的社保证明资料（应当至少包含养老保险或医疗保险，补缴的社保不予计算），证明资料可为社保收缴部门盖章证明资料、社保窗口打印资料或社保官网截图并加盖投标人公章。根据投标人组建管理团队人员的学历、经验等内容结合项目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内容服务清单需求</w:t>
            </w:r>
            <w:r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  <w:t>进行评审。</w:t>
            </w:r>
          </w:p>
          <w:p w14:paraId="24AF2BDF">
            <w:pPr>
              <w:widowControl/>
              <w:spacing w:line="360" w:lineRule="auto"/>
              <w:ind w:firstLine="480" w:firstLineChars="200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  <w:t>团队负责人满足要求得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5</w:t>
            </w:r>
            <w:r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  <w:t>分。团队成员每1人满足要求得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1</w:t>
            </w:r>
            <w:r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  <w:t>分，此项最高得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10</w:t>
            </w:r>
            <w:r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  <w:t>分。</w:t>
            </w:r>
          </w:p>
        </w:tc>
        <w:tc>
          <w:tcPr>
            <w:tcW w:w="992" w:type="dxa"/>
          </w:tcPr>
          <w:p w14:paraId="26BB5751"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bookmarkStart w:id="7" w:name="OLE_LINK17"/>
            <w:bookmarkStart w:id="8" w:name="OLE_LINK16"/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10</w:t>
            </w:r>
            <w:bookmarkEnd w:id="7"/>
            <w:bookmarkEnd w:id="8"/>
          </w:p>
        </w:tc>
      </w:tr>
      <w:tr w14:paraId="12A9BA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7" w:type="dxa"/>
            <w:gridSpan w:val="3"/>
          </w:tcPr>
          <w:p w14:paraId="7FC19584"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992" w:type="dxa"/>
          </w:tcPr>
          <w:p w14:paraId="3259B708"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55</w:t>
            </w:r>
          </w:p>
        </w:tc>
      </w:tr>
    </w:tbl>
    <w:p w14:paraId="1883ACDF">
      <w:pPr>
        <w:adjustRightInd w:val="0"/>
        <w:snapToGrid w:val="0"/>
        <w:spacing w:line="360" w:lineRule="auto"/>
        <w:outlineLvl w:val="1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3、价格评分表（20分）</w:t>
      </w:r>
    </w:p>
    <w:tbl>
      <w:tblPr>
        <w:tblStyle w:val="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9EF0B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</w:trPr>
        <w:tc>
          <w:tcPr>
            <w:tcW w:w="8522" w:type="dxa"/>
            <w:vAlign w:val="center"/>
          </w:tcPr>
          <w:p w14:paraId="43A3594F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1.综合评分：价格分采用低价优先法计算，即满足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采购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文件要求且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响应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价格最低的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响应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报价为评标基准价，其价格分为满分。其他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供应商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 xml:space="preserve">的价格分按照下列评分标准公式计算： </w:t>
            </w:r>
            <w:bookmarkStart w:id="9" w:name="_GoBack"/>
            <w:bookmarkEnd w:id="9"/>
          </w:p>
          <w:p w14:paraId="3763DB63"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pict>
                <v:shape id="_x0000_i1025" o:spt="75" type="#_x0000_t75" style="height:26.3pt;width:142.1pt;" filled="f" o:preferrelative="t" stroked="f" coordsize="21600,21600" equationxml="&lt;?xml version=&quot;1.0&quot; encoding=&quot;UTF-8&quot; standalone=&quot;yes&quot;?&gt;&#10;&lt;?mso-application progid=&quot;Word.Document&quot;?&gt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140&quot;/&gt;&lt;w:characterSpacingControl w:val=&quot;CompressPunctuation&quot;/&gt;&lt;w:documentProtection w:enforcement=&quot;off&quot;/&gt;&lt;w:embedTrueTypeFonts/&gt;&lt;w:doNotEmbedSystemFonts/&gt;&lt;w:saveSubsetFonts/&gt;&lt;w:defaultTabStop w:val=&quot;420&quot;/&gt;&lt;w:drawingGridVerticalSpacing w:val=&quot;156&quot;/&gt;&lt;w:displayHorizontalDrawingGridEvery w:val=&quot;1&quot;/&gt;&lt;w:displayVerticalDrawingGridEvery w:val=&quot;1&quot;/&gt;&lt;w:compat&gt;&lt;w:adjustLineHeightInTable/&gt;&lt;w:ulTrailSpace/&gt;&lt;w:doNotExpandShiftReturn/&gt;&lt;w:balanceSingleByteDoubleByteWidth/&gt;&lt;w:spaceForUL/&gt;&lt;w:breakWrappedTables/&gt;&lt;w:dontGrowAutofit/&gt;&lt;w:useFELayout/&gt;&lt;/w:compat&gt;&lt;/w:docPr&gt;&lt;w:body&gt;&lt;wx:sect&gt;&lt;w:p&gt;&lt;m:oMathPara&gt;&lt;m:oMath&gt;&lt;m:r&gt;&lt;m:rPr&gt;&lt;m:sty m:val=&quot;p&quot;/&gt;&lt;m:scr m:val=&quot;roman&quot;/&gt;&lt;/m:rPr&gt;&lt;w:rPr&gt;&lt;w:rFonts w:ascii=&quot;Cambria Math&quot; w:h-ansi=&quot;Cambria Math&quot; w:cs=&quot;瀹嬩綋&quot; w:hint=&quot;fareast&quot;/&gt;&lt;w:sz w:val=&quot;24&quot;/&gt;&lt;w:sz-cs w:val=&quot;24&quot;/&gt;&lt;/w:rPr&gt;&lt;m:t&gt;鎶曟爣浜轰环鏍煎緱鍒?&lt;/m:t&gt;&lt;/m:r&gt;&lt;m:f&gt;&lt;m:fPr&gt;&lt;m:ctrlPr&gt;&lt;w:rPr&gt;&lt;w:rFonts &lt;m:sty m:val=&quot;w:ascii=&quot;Cambria Math&quot; w:h-ansi=&quot;Cambria Math&quot; w:cs=&quot;瀹嬩綋&quot; w:hint=&quot;fareast&quot;/&gt;&lt;w:sz w:val=&quot;24&quot;/&gt;&lt;w:sz-cs w:val=&quot;24&quot;/&gt;&lt;/w:rPr&gt;&lt;/m:ctrlPr&gt;&lt;/m:fPr&gt;&lt;m:num&gt;&lt;m:r&gt;&lt;m:rPr&gt;&lt;m:sty m:val=&quot;p&quot;/&gt;&lt;m:scr m:val=&quot;roman&quot;/&gt;&lt;/m:rPr&gt;&lt;w:rPr&gt;&lt;w:rFonts w:ascii=&quot;Cambria Math&quot; w:hl=&quot;-ansi=&quot;Cambria Math&quot; w:cs=&quot;瀹嬩綋&quot; w:hint=&quot;fareast&quot;/&gt;&lt;w:sz w:val=&quot;24&quot;/&gt;&lt;w:sz-cs w:val=&quot;24&quot;/&gt;&lt;/w:rPr&gt;&lt;m:t&gt;璇勬爣鍩哄噯浠?/m:t&gt;&lt;/m:r&gt;&lt;m:ctrlPr&gt;&lt;w:rPr&gt;&lt;w:rFonts w:ascii=&quot;Cambria Math&quot; w:h-ansi=&quot;Cambria Math&quot; w:cs=&quot;瀹嬩綋&quot; w:hint=&quot;fareast&quot;/&gt;&lt;w:sz w:val=&quot;24&quot;/a Math&quot; w:hl=&quot;&gt;&lt;w:sz-cs w:val=&quot;24&quot;/&gt;&lt;/w:rPr&gt;&lt;/m:ctrlPr&gt;&lt;/m:num&gt;&lt;m:den&gt;&lt;m:r&gt;&lt;m:rPr&gt;&lt;m:sty m:val=&quot;p&quot;/&gt;&lt;m:scr m:val=&quot;roman&quot;/&gt;&lt;/m:rPr&gt;&lt;w:rPr&gt;&lt;w:rFonts w:ascii=&quot;Cambria Math&quot; w:h-ansi=&quot;Cambria Math&quot; w:cs=&quot;瀹嬩綋&quot; w:hint=&quot;fareast&quot;/&gt;&lt;w:sz w:val=&quot;24&quot;/&gt;&lt;w:sz-cs w:val=&quot;24&quot;/&gt;&lt;/w:l=&quot;rPr&gt;&lt;m:t&gt;鎶曟爣鎬讳环&lt;/m:t&gt;&lt;/m:r&gt;&lt;m:ctrlPr&gt;&lt;w:rPr&gt;&lt;w:rFonts w:ascii=&quot;Cambria Math&quot; w:h-ansi=&quot;Cambria Math&quot; w:cs=&quot;瀹嬩綋&quot; w:hint=&quot;fareast&quot;/&gt;&lt;w:sz w:val=&quot;24&quot;/&gt;&lt;w:sz-cs w:val=&quot;24&quot;/&gt;&lt;/w:rPr&gt;&lt;/m:ctrlPr&gt;&lt;/m:den&gt;&lt;/m:f&gt;&lt;/m:oMath&gt;&lt;/m:oMathPara&gt;&lt;/w:p&gt;&lt;/wx:sect&gt;&lt;/w:/&gt;&lt;/w:l=&quot;body&gt;&lt;/w:wordDocument">
                  <v:path/>
                  <v:fill on="f" focussize="0,0"/>
                  <v:stroke on="f" joinstyle="miter"/>
                  <v:imagedata r:id="rId5" o:title=""/>
                  <o:lock v:ext="edit" aspectratio="f"/>
                  <w10:wrap type="none"/>
                  <w10:anchorlock/>
                </v:shape>
              </w:pic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×价格分值</w:t>
            </w:r>
          </w:p>
          <w:p w14:paraId="413B8BD3"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2.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响应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报价得分四舍五入后，小数点后保留两位有效数。</w:t>
            </w:r>
          </w:p>
        </w:tc>
      </w:tr>
    </w:tbl>
    <w:p w14:paraId="566DF5B1">
      <w:pPr>
        <w:widowControl/>
        <w:spacing w:line="360" w:lineRule="auto"/>
        <w:jc w:val="left"/>
        <w:textAlignment w:val="center"/>
        <w:rPr>
          <w:rFonts w:hint="eastAsia" w:ascii="仿宋" w:hAnsi="仿宋" w:eastAsia="仿宋" w:cs="仿宋"/>
          <w:kern w:val="0"/>
          <w:sz w:val="24"/>
          <w:szCs w:val="24"/>
          <w:lang w:bidi="ar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bidi="ar"/>
        </w:rPr>
        <w:t>备注：1.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 w:bidi="ar"/>
        </w:rPr>
        <w:t>采购</w:t>
      </w:r>
      <w:r>
        <w:rPr>
          <w:rFonts w:hint="eastAsia" w:ascii="仿宋" w:hAnsi="仿宋" w:eastAsia="仿宋" w:cs="仿宋"/>
          <w:kern w:val="0"/>
          <w:sz w:val="24"/>
          <w:szCs w:val="24"/>
          <w:lang w:bidi="ar"/>
        </w:rPr>
        <w:t>文件要求提交的与评价指标体系相关的各类有效资料，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 w:bidi="ar"/>
        </w:rPr>
        <w:t>供应商</w:t>
      </w:r>
      <w:r>
        <w:rPr>
          <w:rFonts w:hint="eastAsia" w:ascii="仿宋" w:hAnsi="仿宋" w:eastAsia="仿宋" w:cs="仿宋"/>
          <w:kern w:val="0"/>
          <w:sz w:val="24"/>
          <w:szCs w:val="24"/>
          <w:lang w:bidi="ar"/>
        </w:rPr>
        <w:t>如未按要求提交的，该项评分为零分；2.仅对已通过资格性评审和符合性评审的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 w:bidi="ar"/>
        </w:rPr>
        <w:t>采购</w:t>
      </w:r>
      <w:r>
        <w:rPr>
          <w:rFonts w:hint="eastAsia" w:ascii="仿宋" w:hAnsi="仿宋" w:eastAsia="仿宋" w:cs="仿宋"/>
          <w:kern w:val="0"/>
          <w:sz w:val="24"/>
          <w:szCs w:val="24"/>
          <w:lang w:bidi="ar"/>
        </w:rPr>
        <w:t>文件进行评分；评分小数点保留至两位。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长城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3CF77FC4-878E-48D7-AF94-4BBE48B430C7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FB23007-C01E-4F7C-8F2A-4F5DE7ECB10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2CC350">
    <w:pPr>
      <w:pStyle w:val="7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6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9</w:t>
    </w:r>
    <w:r>
      <w:rPr>
        <w:b/>
        <w:bCs/>
        <w:sz w:val="24"/>
        <w:szCs w:val="24"/>
      </w:rPr>
      <w:fldChar w:fldCharType="end"/>
    </w:r>
  </w:p>
  <w:p w14:paraId="38D558A2">
    <w:pPr>
      <w:pStyle w:val="7"/>
      <w:jc w:val="both"/>
    </w:pPr>
  </w:p>
  <w:p w14:paraId="7401AB1C"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1A2CE9"/>
    <w:multiLevelType w:val="multilevel"/>
    <w:tmpl w:val="191A2CE9"/>
    <w:lvl w:ilvl="0" w:tentative="0">
      <w:start w:val="2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23FCB7E9"/>
    <w:multiLevelType w:val="singleLevel"/>
    <w:tmpl w:val="23FCB7E9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4FB93A95"/>
    <w:multiLevelType w:val="multilevel"/>
    <w:tmpl w:val="4FB93A95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5A4A4C11"/>
    <w:multiLevelType w:val="multilevel"/>
    <w:tmpl w:val="5A4A4C11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61763839"/>
    <w:multiLevelType w:val="multilevel"/>
    <w:tmpl w:val="6176383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gxNGU2YWNkZmIxZDU0MWNjN2VkMGE2OTA1ZjVjYWEifQ=="/>
  </w:docVars>
  <w:rsids>
    <w:rsidRoot w:val="00662F23"/>
    <w:rsid w:val="00020873"/>
    <w:rsid w:val="00035A54"/>
    <w:rsid w:val="0005476B"/>
    <w:rsid w:val="000A7DA5"/>
    <w:rsid w:val="000B74C3"/>
    <w:rsid w:val="000C4124"/>
    <w:rsid w:val="000C7374"/>
    <w:rsid w:val="00113C2D"/>
    <w:rsid w:val="00160F2A"/>
    <w:rsid w:val="00164B9F"/>
    <w:rsid w:val="001661DE"/>
    <w:rsid w:val="00196AC1"/>
    <w:rsid w:val="001A5BFE"/>
    <w:rsid w:val="001C32C8"/>
    <w:rsid w:val="001E1E0A"/>
    <w:rsid w:val="001F2BC3"/>
    <w:rsid w:val="001F3ADA"/>
    <w:rsid w:val="00204DC6"/>
    <w:rsid w:val="002100B4"/>
    <w:rsid w:val="002168D9"/>
    <w:rsid w:val="00225611"/>
    <w:rsid w:val="00250538"/>
    <w:rsid w:val="0026345B"/>
    <w:rsid w:val="002638FA"/>
    <w:rsid w:val="00284B03"/>
    <w:rsid w:val="002933BC"/>
    <w:rsid w:val="002B0693"/>
    <w:rsid w:val="002B3D2F"/>
    <w:rsid w:val="002B4417"/>
    <w:rsid w:val="002B7AE7"/>
    <w:rsid w:val="002C5695"/>
    <w:rsid w:val="002D3705"/>
    <w:rsid w:val="002F478E"/>
    <w:rsid w:val="002F54D0"/>
    <w:rsid w:val="00304713"/>
    <w:rsid w:val="00323D6F"/>
    <w:rsid w:val="00337D83"/>
    <w:rsid w:val="0037358A"/>
    <w:rsid w:val="00375AE5"/>
    <w:rsid w:val="003B026C"/>
    <w:rsid w:val="003B69D2"/>
    <w:rsid w:val="003C1964"/>
    <w:rsid w:val="003C5255"/>
    <w:rsid w:val="003D3A93"/>
    <w:rsid w:val="003D3B8E"/>
    <w:rsid w:val="003E07F0"/>
    <w:rsid w:val="003E6E98"/>
    <w:rsid w:val="003F3BFB"/>
    <w:rsid w:val="004028F8"/>
    <w:rsid w:val="00404C85"/>
    <w:rsid w:val="00410B85"/>
    <w:rsid w:val="0041323C"/>
    <w:rsid w:val="00421BF4"/>
    <w:rsid w:val="00430F53"/>
    <w:rsid w:val="0045540E"/>
    <w:rsid w:val="00493E29"/>
    <w:rsid w:val="004A564D"/>
    <w:rsid w:val="004B6E94"/>
    <w:rsid w:val="004C745C"/>
    <w:rsid w:val="00500DC9"/>
    <w:rsid w:val="00540753"/>
    <w:rsid w:val="00572AB0"/>
    <w:rsid w:val="00573875"/>
    <w:rsid w:val="00596FAC"/>
    <w:rsid w:val="005C4978"/>
    <w:rsid w:val="005C6BB0"/>
    <w:rsid w:val="005D2E33"/>
    <w:rsid w:val="005D692B"/>
    <w:rsid w:val="005E58D2"/>
    <w:rsid w:val="005F7A68"/>
    <w:rsid w:val="00644CE1"/>
    <w:rsid w:val="0064666A"/>
    <w:rsid w:val="006603BC"/>
    <w:rsid w:val="00662F23"/>
    <w:rsid w:val="0066314A"/>
    <w:rsid w:val="00671F2E"/>
    <w:rsid w:val="006830A8"/>
    <w:rsid w:val="00696640"/>
    <w:rsid w:val="006A332E"/>
    <w:rsid w:val="006B0B13"/>
    <w:rsid w:val="006B1AC0"/>
    <w:rsid w:val="006B7A12"/>
    <w:rsid w:val="006C100D"/>
    <w:rsid w:val="006E24AB"/>
    <w:rsid w:val="007236A6"/>
    <w:rsid w:val="007478AC"/>
    <w:rsid w:val="00747949"/>
    <w:rsid w:val="00751542"/>
    <w:rsid w:val="00771B19"/>
    <w:rsid w:val="007B1FAB"/>
    <w:rsid w:val="007B42F5"/>
    <w:rsid w:val="007E6967"/>
    <w:rsid w:val="008073E4"/>
    <w:rsid w:val="00821856"/>
    <w:rsid w:val="00825B93"/>
    <w:rsid w:val="00846DAC"/>
    <w:rsid w:val="00851DF8"/>
    <w:rsid w:val="008603B4"/>
    <w:rsid w:val="00882602"/>
    <w:rsid w:val="00897599"/>
    <w:rsid w:val="008A08B1"/>
    <w:rsid w:val="008A36D6"/>
    <w:rsid w:val="008A602B"/>
    <w:rsid w:val="008B0AFE"/>
    <w:rsid w:val="008B1381"/>
    <w:rsid w:val="008C696D"/>
    <w:rsid w:val="008D057A"/>
    <w:rsid w:val="008E4D2F"/>
    <w:rsid w:val="008F758A"/>
    <w:rsid w:val="008F75C6"/>
    <w:rsid w:val="00913B35"/>
    <w:rsid w:val="00925D46"/>
    <w:rsid w:val="00927774"/>
    <w:rsid w:val="00930866"/>
    <w:rsid w:val="00936894"/>
    <w:rsid w:val="00937884"/>
    <w:rsid w:val="00954FB7"/>
    <w:rsid w:val="00982527"/>
    <w:rsid w:val="009A1E48"/>
    <w:rsid w:val="009B1781"/>
    <w:rsid w:val="009C0BFB"/>
    <w:rsid w:val="009D486A"/>
    <w:rsid w:val="009E487C"/>
    <w:rsid w:val="00A031F1"/>
    <w:rsid w:val="00A4053F"/>
    <w:rsid w:val="00A4061A"/>
    <w:rsid w:val="00A636CF"/>
    <w:rsid w:val="00A65D80"/>
    <w:rsid w:val="00A7300D"/>
    <w:rsid w:val="00A73579"/>
    <w:rsid w:val="00A75923"/>
    <w:rsid w:val="00A96BED"/>
    <w:rsid w:val="00AA325E"/>
    <w:rsid w:val="00AA6F5C"/>
    <w:rsid w:val="00AC48A6"/>
    <w:rsid w:val="00AD3931"/>
    <w:rsid w:val="00AE2287"/>
    <w:rsid w:val="00AE41F4"/>
    <w:rsid w:val="00B072F6"/>
    <w:rsid w:val="00B156C6"/>
    <w:rsid w:val="00B270CB"/>
    <w:rsid w:val="00B41358"/>
    <w:rsid w:val="00B42DC2"/>
    <w:rsid w:val="00B66D20"/>
    <w:rsid w:val="00B7083D"/>
    <w:rsid w:val="00B72A36"/>
    <w:rsid w:val="00BA7D87"/>
    <w:rsid w:val="00BB2193"/>
    <w:rsid w:val="00BB2BF3"/>
    <w:rsid w:val="00BD3DEE"/>
    <w:rsid w:val="00BD7B0A"/>
    <w:rsid w:val="00C408C9"/>
    <w:rsid w:val="00C646BB"/>
    <w:rsid w:val="00C85B48"/>
    <w:rsid w:val="00C87948"/>
    <w:rsid w:val="00CA2C18"/>
    <w:rsid w:val="00CB6F86"/>
    <w:rsid w:val="00CC6E2F"/>
    <w:rsid w:val="00CF7C77"/>
    <w:rsid w:val="00D01785"/>
    <w:rsid w:val="00D15784"/>
    <w:rsid w:val="00D55107"/>
    <w:rsid w:val="00D61555"/>
    <w:rsid w:val="00D80A24"/>
    <w:rsid w:val="00D85878"/>
    <w:rsid w:val="00D8757F"/>
    <w:rsid w:val="00D928D5"/>
    <w:rsid w:val="00DC2580"/>
    <w:rsid w:val="00DC7902"/>
    <w:rsid w:val="00DE0590"/>
    <w:rsid w:val="00DE5D34"/>
    <w:rsid w:val="00DE7EB7"/>
    <w:rsid w:val="00DF4507"/>
    <w:rsid w:val="00E01AB9"/>
    <w:rsid w:val="00E10AC2"/>
    <w:rsid w:val="00E11033"/>
    <w:rsid w:val="00E17541"/>
    <w:rsid w:val="00E27E0E"/>
    <w:rsid w:val="00E31746"/>
    <w:rsid w:val="00E608D2"/>
    <w:rsid w:val="00E92633"/>
    <w:rsid w:val="00E938D7"/>
    <w:rsid w:val="00EB61AB"/>
    <w:rsid w:val="00EC30FC"/>
    <w:rsid w:val="00F12F82"/>
    <w:rsid w:val="00F168B6"/>
    <w:rsid w:val="00F2384D"/>
    <w:rsid w:val="00F25896"/>
    <w:rsid w:val="00F302D1"/>
    <w:rsid w:val="00F31D68"/>
    <w:rsid w:val="00F34F10"/>
    <w:rsid w:val="00F40100"/>
    <w:rsid w:val="00F40D8B"/>
    <w:rsid w:val="00F42598"/>
    <w:rsid w:val="00F46F32"/>
    <w:rsid w:val="00F5589B"/>
    <w:rsid w:val="00F57CCB"/>
    <w:rsid w:val="00F64F18"/>
    <w:rsid w:val="00F85B20"/>
    <w:rsid w:val="00F85F53"/>
    <w:rsid w:val="00F93E64"/>
    <w:rsid w:val="00F94AFD"/>
    <w:rsid w:val="00FA1667"/>
    <w:rsid w:val="00FA3FF6"/>
    <w:rsid w:val="00FC0DF8"/>
    <w:rsid w:val="00FD21CF"/>
    <w:rsid w:val="00FD2559"/>
    <w:rsid w:val="00FE0330"/>
    <w:rsid w:val="00FE18CB"/>
    <w:rsid w:val="03A96C0F"/>
    <w:rsid w:val="03BD58AF"/>
    <w:rsid w:val="048E3E39"/>
    <w:rsid w:val="04CE3C5B"/>
    <w:rsid w:val="05193122"/>
    <w:rsid w:val="06BB5B03"/>
    <w:rsid w:val="07627ABE"/>
    <w:rsid w:val="07EF61E4"/>
    <w:rsid w:val="0A0F3E1D"/>
    <w:rsid w:val="0A7174BB"/>
    <w:rsid w:val="0BA47B73"/>
    <w:rsid w:val="0DD7131D"/>
    <w:rsid w:val="0E270CC8"/>
    <w:rsid w:val="0E4B3C21"/>
    <w:rsid w:val="0EAC1116"/>
    <w:rsid w:val="13176288"/>
    <w:rsid w:val="13925859"/>
    <w:rsid w:val="155F0565"/>
    <w:rsid w:val="19FC28E0"/>
    <w:rsid w:val="1ABC2CB0"/>
    <w:rsid w:val="1ADC289C"/>
    <w:rsid w:val="1B622E08"/>
    <w:rsid w:val="1EB4109A"/>
    <w:rsid w:val="1F4F0875"/>
    <w:rsid w:val="20413186"/>
    <w:rsid w:val="2B3C42DD"/>
    <w:rsid w:val="2D172AC9"/>
    <w:rsid w:val="300F6946"/>
    <w:rsid w:val="34206A5C"/>
    <w:rsid w:val="34BD1871"/>
    <w:rsid w:val="34C62147"/>
    <w:rsid w:val="367910FE"/>
    <w:rsid w:val="3B0A2306"/>
    <w:rsid w:val="3D320C6F"/>
    <w:rsid w:val="4EB03806"/>
    <w:rsid w:val="4F874A89"/>
    <w:rsid w:val="50851045"/>
    <w:rsid w:val="50C9382E"/>
    <w:rsid w:val="59F355A3"/>
    <w:rsid w:val="5B260C92"/>
    <w:rsid w:val="5DE33DD1"/>
    <w:rsid w:val="5EEF11CE"/>
    <w:rsid w:val="5F272A31"/>
    <w:rsid w:val="602F2A3B"/>
    <w:rsid w:val="60B26F5F"/>
    <w:rsid w:val="61965CA6"/>
    <w:rsid w:val="619D5F91"/>
    <w:rsid w:val="668C6C30"/>
    <w:rsid w:val="66907870"/>
    <w:rsid w:val="68C023E6"/>
    <w:rsid w:val="69454D08"/>
    <w:rsid w:val="697863F9"/>
    <w:rsid w:val="69E10EDF"/>
    <w:rsid w:val="6A95202F"/>
    <w:rsid w:val="71070339"/>
    <w:rsid w:val="71F63CF5"/>
    <w:rsid w:val="768044B7"/>
    <w:rsid w:val="76F9734D"/>
    <w:rsid w:val="76FB0145"/>
    <w:rsid w:val="779D3CBA"/>
    <w:rsid w:val="788725B1"/>
    <w:rsid w:val="7C75601E"/>
    <w:rsid w:val="7F87331B"/>
    <w:rsid w:val="7FFA94C5"/>
    <w:rsid w:val="BF9E9693"/>
    <w:rsid w:val="BFFEFF11"/>
    <w:rsid w:val="CBC715A4"/>
    <w:rsid w:val="FFEC55A8"/>
    <w:rsid w:val="FFFB1453"/>
    <w:rsid w:val="FFFF6A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1"/>
    <w:pPr>
      <w:ind w:left="1161"/>
      <w:jc w:val="left"/>
      <w:outlineLvl w:val="0"/>
    </w:pPr>
    <w:rPr>
      <w:rFonts w:ascii="黑体" w:hAnsi="黑体" w:eastAsia="黑体"/>
      <w:kern w:val="0"/>
      <w:sz w:val="44"/>
      <w:szCs w:val="44"/>
      <w:lang w:eastAsia="en-US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adjustRightInd w:val="0"/>
      <w:spacing w:line="360" w:lineRule="atLeast"/>
      <w:ind w:firstLine="420"/>
      <w:jc w:val="left"/>
      <w:textAlignment w:val="baseline"/>
    </w:pPr>
    <w:rPr>
      <w:kern w:val="0"/>
      <w:sz w:val="24"/>
    </w:r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6"/>
    <w:link w:val="19"/>
    <w:qFormat/>
    <w:uiPriority w:val="0"/>
    <w:pPr>
      <w:spacing w:before="10" w:after="10" w:line="360" w:lineRule="auto"/>
      <w:ind w:firstLine="200" w:firstLineChars="200"/>
    </w:pPr>
    <w:rPr>
      <w:rFonts w:ascii="Times New Roman" w:hAnsi="Times New Roman"/>
      <w:sz w:val="24"/>
      <w:szCs w:val="24"/>
    </w:rPr>
  </w:style>
  <w:style w:type="paragraph" w:styleId="6">
    <w:name w:val="Title"/>
    <w:basedOn w:val="1"/>
    <w:next w:val="1"/>
    <w:link w:val="17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7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8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table" w:styleId="10">
    <w:name w:val="Table Grid"/>
    <w:basedOn w:val="9"/>
    <w:qFormat/>
    <w:uiPriority w:val="59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脚 字符"/>
    <w:link w:val="7"/>
    <w:qFormat/>
    <w:uiPriority w:val="99"/>
    <w:rPr>
      <w:sz w:val="18"/>
      <w:szCs w:val="18"/>
    </w:rPr>
  </w:style>
  <w:style w:type="character" w:customStyle="1" w:styleId="13">
    <w:name w:val="页眉 字符"/>
    <w:link w:val="8"/>
    <w:qFormat/>
    <w:uiPriority w:val="99"/>
    <w:rPr>
      <w:sz w:val="18"/>
      <w:szCs w:val="18"/>
    </w:rPr>
  </w:style>
  <w:style w:type="character" w:customStyle="1" w:styleId="14">
    <w:name w:val="ask-title"/>
    <w:qFormat/>
    <w:uiPriority w:val="0"/>
  </w:style>
  <w:style w:type="paragraph" w:customStyle="1" w:styleId="15">
    <w:name w:val="文档正文"/>
    <w:basedOn w:val="1"/>
    <w:qFormat/>
    <w:uiPriority w:val="99"/>
    <w:pPr>
      <w:adjustRightInd w:val="0"/>
      <w:spacing w:line="480" w:lineRule="atLeast"/>
      <w:ind w:firstLine="567" w:firstLineChars="200"/>
      <w:textAlignment w:val="baseline"/>
    </w:pPr>
    <w:rPr>
      <w:rFonts w:ascii="长城仿宋" w:hAnsi="Times New Roman"/>
      <w:kern w:val="0"/>
      <w:szCs w:val="20"/>
    </w:rPr>
  </w:style>
  <w:style w:type="character" w:customStyle="1" w:styleId="16">
    <w:name w:val="标题 1 字符"/>
    <w:link w:val="2"/>
    <w:qFormat/>
    <w:uiPriority w:val="1"/>
    <w:rPr>
      <w:rFonts w:ascii="黑体" w:hAnsi="黑体" w:eastAsia="黑体" w:cs="Times New Roman"/>
      <w:sz w:val="44"/>
      <w:szCs w:val="44"/>
      <w:lang w:eastAsia="en-US"/>
    </w:rPr>
  </w:style>
  <w:style w:type="character" w:customStyle="1" w:styleId="17">
    <w:name w:val="标题 字符"/>
    <w:link w:val="6"/>
    <w:qFormat/>
    <w:uiPriority w:val="10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1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19">
    <w:name w:val="正文文本 字符"/>
    <w:link w:val="5"/>
    <w:qFormat/>
    <w:uiPriority w:val="0"/>
    <w:rPr>
      <w:rFonts w:ascii="Times New Roman" w:hAnsi="Times New Roman" w:eastAsia="宋体" w:cs="Times New Roman"/>
      <w:kern w:val="2"/>
      <w:sz w:val="24"/>
      <w:szCs w:val="24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3341</Words>
  <Characters>3378</Characters>
  <TotalTime>0</TotalTime>
  <ScaleCrop>false</ScaleCrop>
  <LinksUpToDate>false</LinksUpToDate>
  <CharactersWithSpaces>3445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2026-01-09T09:17:00Z</dcterms:created>
  <dc:creator>Lenovo</dc:creator>
  <cp:lastModifiedBy>阅推</cp:lastModifiedBy>
  <dcterms:modified xsi:type="dcterms:W3CDTF">2026-01-09T01:22:25Z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eyJoZGlkIjoiZWMxOGM4YTRmYTc1ZWM3ZmExNTU3NjdkMGYxNGE2YmEiLCJ1c2VySWQiOiIyNzU3Nzg5MjMifQ==</vt:lpwstr>
  </property>
  <property fmtid="{D5CDD505-2E9C-101B-9397-08002B2CF9AE}" pid="3" name="KSOProductBuildVer">
    <vt:lpwstr>2052-12.1.0.23542</vt:lpwstr>
  </property>
  <property fmtid="{D5CDD505-2E9C-101B-9397-08002B2CF9AE}" pid="4" name="ICV">
    <vt:lpwstr>A56C833CE3DD46A3A45B36EB3A2D41AD_12</vt:lpwstr>
  </property>
</Properties>
</file>